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rPr>
          <w:color w:val="1d2129"/>
          <w:sz w:val="27"/>
          <w:szCs w:val="27"/>
          <w:shd w:val="clear" w:color="auto" w:fill="ffffff"/>
        </w:rPr>
      </w:pPr>
      <w:r>
        <w:rPr>
          <w:color w:val="1d2129"/>
          <w:sz w:val="27"/>
          <w:szCs w:val="27"/>
          <w:shd w:val="clear" w:color="auto" w:fill="ffffff"/>
        </w:rPr>
        <w:t xml:space="preserve">ИНФОРМАЦИОННЫЙ МОДУЛЬ</w:t>
      </w:r>
      <w:r>
        <w:rPr>
          <w:color w:val="1d2129"/>
          <w:sz w:val="27"/>
          <w:szCs w:val="27"/>
          <w:shd w:val="clear" w:color="auto" w:fill="ffffff"/>
        </w:rPr>
      </w:r>
      <w:r>
        <w:rPr>
          <w:color w:val="1d2129"/>
          <w:sz w:val="27"/>
          <w:szCs w:val="27"/>
          <w:shd w:val="clear" w:color="auto" w:fill="ffffff"/>
        </w:rPr>
      </w:r>
    </w:p>
    <w:p>
      <w:pPr>
        <w:ind w:firstLine="709"/>
        <w:jc w:val="center"/>
        <w:rPr>
          <w:color w:val="1d2129"/>
          <w:sz w:val="27"/>
          <w:szCs w:val="27"/>
          <w:shd w:val="clear" w:color="auto" w:fill="ffffff"/>
        </w:rPr>
      </w:pPr>
      <w:r>
        <w:rPr>
          <w:color w:val="1d2129"/>
          <w:sz w:val="27"/>
          <w:szCs w:val="27"/>
          <w:shd w:val="clear" w:color="auto" w:fill="ffffff"/>
        </w:rPr>
        <w:t xml:space="preserve">«Льготные лекарства – это выгодно»</w:t>
      </w:r>
      <w:r>
        <w:rPr>
          <w:color w:val="1d2129"/>
          <w:sz w:val="27"/>
          <w:szCs w:val="27"/>
          <w:shd w:val="clear" w:color="auto" w:fill="ffffff"/>
        </w:rPr>
      </w:r>
      <w:r>
        <w:rPr>
          <w:color w:val="1d2129"/>
          <w:sz w:val="27"/>
          <w:szCs w:val="27"/>
          <w:shd w:val="clear" w:color="auto" w:fill="ffffff"/>
        </w:rPr>
      </w:r>
    </w:p>
    <w:p>
      <w:pPr>
        <w:ind w:firstLine="709"/>
        <w:jc w:val="center"/>
        <w:rPr>
          <w:color w:val="1d2129"/>
          <w:sz w:val="27"/>
          <w:szCs w:val="27"/>
          <w:shd w:val="clear" w:color="auto" w:fill="ffffff"/>
        </w:rPr>
      </w:pPr>
      <w:r>
        <w:rPr>
          <w:color w:val="1d2129"/>
          <w:sz w:val="27"/>
          <w:szCs w:val="27"/>
          <w:shd w:val="clear" w:color="auto" w:fill="ffffff"/>
        </w:rPr>
      </w:r>
      <w:r>
        <w:rPr>
          <w:color w:val="1d2129"/>
          <w:sz w:val="27"/>
          <w:szCs w:val="27"/>
          <w:shd w:val="clear" w:color="auto" w:fill="ffffff"/>
        </w:rPr>
      </w:r>
      <w:r>
        <w:rPr>
          <w:color w:val="1d2129"/>
          <w:sz w:val="27"/>
          <w:szCs w:val="27"/>
          <w:shd w:val="clear" w:color="auto" w:fill="ffffff"/>
        </w:rPr>
      </w:r>
    </w:p>
    <w:p>
      <w:pPr>
        <w:widowControl w:val="off"/>
        <w:ind w:firstLine="709"/>
        <w:jc w:val="both"/>
        <w:rPr>
          <w:rFonts w:ascii="PT Astra Serif" w:hAnsi="PT Astra Serif"/>
          <w:color w:val="1d2129"/>
          <w:sz w:val="27"/>
          <w:szCs w:val="27"/>
          <w:shd w:val="clear" w:color="auto" w:fill="ffffff"/>
        </w:rPr>
      </w:pP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До 1 октября текущего года федеральные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льготополучатели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должны сделать выбор между получением набора социальных услуг (НСУ) в натуральной форме или получением его денежного эквивалента (ежемесячная денежная выплата).</w:t>
      </w:r>
      <w:r>
        <w:rPr>
          <w:rFonts w:ascii="PT Astra Serif" w:hAnsi="PT Astra Serif"/>
          <w:sz w:val="27"/>
          <w:szCs w:val="27"/>
        </w:rPr>
        <w:t xml:space="preserve"> </w:t>
      </w:r>
      <w:bookmarkStart w:id="0" w:name="_GoBack"/>
      <w:bookmarkEnd w:id="0"/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Стоимость набора социальных услуг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(социальной услуги)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в 2026 году составляет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1 846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рублей 00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копеек в месяц, в том числе: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</w:p>
    <w:p>
      <w:pPr>
        <w:widowControl w:val="off"/>
        <w:ind w:firstLine="709"/>
        <w:jc w:val="both"/>
        <w:rPr>
          <w:rFonts w:ascii="PT Astra Serif" w:hAnsi="PT Astra Serif"/>
          <w:color w:val="1d2129"/>
          <w:sz w:val="27"/>
          <w:szCs w:val="27"/>
          <w:shd w:val="clear" w:color="auto" w:fill="ffffff"/>
        </w:rPr>
      </w:pP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1 421 руб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ль 83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коп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ейки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– на обеспечение в соответствии со стандартами медицинс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кой помощи необходимыми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детей-инвалидов;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</w:p>
    <w:p>
      <w:pPr>
        <w:widowControl w:val="off"/>
        <w:ind w:firstLine="709"/>
        <w:jc w:val="both"/>
        <w:rPr>
          <w:rFonts w:ascii="PT Astra Serif" w:hAnsi="PT Astra Serif"/>
          <w:color w:val="1d2129"/>
          <w:sz w:val="27"/>
          <w:szCs w:val="27"/>
          <w:shd w:val="clear" w:color="auto" w:fill="ffffff"/>
        </w:rPr>
      </w:pP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219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рублей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96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копеек – предоставление при наличии медицинских показаний путевки на санаторно-курортное лечение, осуществляемое в цел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ях профилактики основных заболеваний, в санаторно-курортные организации, определенные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</w:p>
    <w:p>
      <w:pPr>
        <w:widowControl w:val="off"/>
        <w:ind w:firstLine="709"/>
        <w:jc w:val="both"/>
        <w:rPr>
          <w:rFonts w:ascii="PT Astra Serif" w:hAnsi="PT Astra Serif"/>
          <w:color w:val="1d2129"/>
          <w:sz w:val="27"/>
          <w:szCs w:val="27"/>
          <w:shd w:val="clear" w:color="auto" w:fill="ffffff"/>
        </w:rPr>
      </w:pP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204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рубл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ь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21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копейк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а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– бесплатный проезд на пригородном железнодорожном транспорте, а также на междугородном транспорте к месту лечения и обратно.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</w:p>
    <w:p>
      <w:pPr>
        <w:widowControl w:val="off"/>
        <w:ind w:firstLine="709"/>
        <w:jc w:val="both"/>
        <w:rPr>
          <w:rFonts w:ascii="PT Astra Serif" w:hAnsi="PT Astra Serif"/>
          <w:color w:val="1d2129"/>
          <w:sz w:val="27"/>
          <w:szCs w:val="27"/>
          <w:shd w:val="clear" w:color="auto" w:fill="ffffff"/>
        </w:rPr>
      </w:pP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Любую из этих частей федеральный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льготополучатель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может получать в натуральном или денежном эквиваленте.</w:t>
      </w:r>
      <w:r>
        <w:rPr>
          <w:rFonts w:ascii="PT Astra Serif" w:hAnsi="PT Astra Serif"/>
          <w:sz w:val="27"/>
          <w:szCs w:val="27"/>
        </w:rPr>
        <w:t xml:space="preserve"> Граждане,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сделавшие выбор до 01.10.2026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в пользу получения НСУ, будут обеспечиваться с 1 января 2027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 года лекарственными препаратами, необходимыми для лечения имеющихся заболеваний, в том числе тяжелых хронических заболеваний.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</w:p>
    <w:p>
      <w:pPr>
        <w:widowControl w:val="off"/>
        <w:ind w:firstLine="709"/>
        <w:jc w:val="both"/>
        <w:rPr>
          <w:rFonts w:ascii="PT Astra Serif" w:hAnsi="PT Astra Serif"/>
          <w:color w:val="1d2129"/>
          <w:sz w:val="27"/>
          <w:szCs w:val="27"/>
          <w:shd w:val="clear" w:color="auto" w:fill="ffffff"/>
        </w:rPr>
      </w:pP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Выбравшие ежемесячную денежную выплату (денежный эквивалент</w:t>
      </w:r>
      <w:r>
        <w:rPr>
          <w:rFonts w:ascii="PT Astra Serif" w:hAnsi="PT Astra Serif"/>
          <w:sz w:val="27"/>
          <w:szCs w:val="27"/>
        </w:rPr>
        <w:t xml:space="preserve">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НСУ в части лекарственного обеспечения) граждане получ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или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в течение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2025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года только норматив финансовых затрат в сумме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15916,80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рублей. По факту в 2025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 году обеспеченный фед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еральный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льготополучатель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получил лекарственные препараты в среднем на сумму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52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 708,75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р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убля, что в 3,3 раза превысило плановый годовой норматив финансовых затрат. З</w:t>
      </w:r>
      <w:r>
        <w:rPr>
          <w:rFonts w:ascii="PT Astra Serif" w:hAnsi="PT Astra Serif"/>
          <w:bCs/>
          <w:color w:val="1d2129"/>
          <w:sz w:val="27"/>
          <w:szCs w:val="27"/>
        </w:rPr>
        <w:t xml:space="preserve">акупка лекарственных препаратов для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льготополучателей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</w:t>
      </w:r>
      <w:r>
        <w:rPr>
          <w:rFonts w:ascii="PT Astra Serif" w:hAnsi="PT Astra Serif"/>
          <w:bCs/>
          <w:color w:val="1d2129"/>
          <w:sz w:val="27"/>
          <w:szCs w:val="27"/>
        </w:rPr>
        <w:t xml:space="preserve">проходит посредством проведения аукционов по минимальным ценам. Качество закупленных лекарственных средств контролируется Росздравнадзором на протяжении всего пути (от производителя до пациента). Поэтому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получать льготу в натуральной форме, выбирая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соцпакет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, гораздо выгоднее и безопаснее.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</w:p>
    <w:p>
      <w:pPr>
        <w:widowControl w:val="off"/>
        <w:ind w:firstLine="709"/>
        <w:jc w:val="both"/>
        <w:rPr>
          <w:rFonts w:ascii="PT Astra Serif" w:hAnsi="PT Astra Serif" w:cs="PT Astra Serif"/>
          <w:color w:val="1d2129"/>
          <w:sz w:val="27"/>
          <w:szCs w:val="27"/>
          <w:shd w:val="clear" w:color="auto" w:fill="ffffff"/>
        </w:rPr>
      </w:pPr>
      <w:r>
        <w:rPr>
          <w:rFonts w:ascii="PT Astra Serif" w:hAnsi="PT Astra Serif"/>
          <w:b/>
          <w:i/>
          <w:color w:val="1d2129"/>
          <w:sz w:val="27"/>
          <w:szCs w:val="27"/>
          <w:shd w:val="clear" w:color="auto" w:fill="ffffff"/>
        </w:rPr>
        <w:t xml:space="preserve">Как вернуться на </w:t>
      </w:r>
      <w:r>
        <w:rPr>
          <w:rFonts w:ascii="PT Astra Serif" w:hAnsi="PT Astra Serif"/>
          <w:b/>
          <w:i/>
          <w:color w:val="1d2129"/>
          <w:sz w:val="27"/>
          <w:szCs w:val="27"/>
          <w:shd w:val="clear" w:color="auto" w:fill="ffffff"/>
        </w:rPr>
        <w:t xml:space="preserve">соцпакет</w:t>
      </w:r>
      <w:r>
        <w:rPr>
          <w:rFonts w:ascii="PT Astra Serif" w:hAnsi="PT Astra Serif"/>
          <w:b/>
          <w:i/>
          <w:color w:val="1d2129"/>
          <w:sz w:val="27"/>
          <w:szCs w:val="27"/>
          <w:shd w:val="clear" w:color="auto" w:fill="ffffff"/>
        </w:rPr>
        <w:t xml:space="preserve">?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Ежемесячную денежную выплату, которую получают «отказники», можно заменить на НСУ в части лек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арственного обеспечения в натуральном виде, </w:t>
      </w:r>
      <w:r>
        <w:rPr>
          <w:rFonts w:ascii="PT Astra Serif" w:hAnsi="PT Astra Serif" w:eastAsia="PT Astra Serif" w:cs="PT Astra Serif"/>
          <w:color w:val="1d2129"/>
          <w:sz w:val="27"/>
          <w:szCs w:val="27"/>
          <w:shd w:val="clear" w:color="auto" w:fill="ffffff"/>
        </w:rPr>
        <w:t xml:space="preserve">при этом сохранить получение денежного эквивалента за санаторно-курортное лечение и бесплатный проезд. Для этого </w:t>
      </w:r>
      <w:r>
        <w:rPr>
          <w:rFonts w:ascii="PT Astra Serif" w:hAnsi="PT Astra Serif" w:eastAsia="PT Astra Serif" w:cs="PT Astra Serif"/>
          <w:b/>
          <w:bCs/>
          <w:color w:val="000000" w:themeColor="text1"/>
          <w:sz w:val="27"/>
          <w:szCs w:val="27"/>
          <w:shd w:val="clear" w:color="auto" w:fill="ffffff"/>
        </w:rPr>
        <w:t xml:space="preserve">до 1 октября текущего года нужно подать соответствующее заявление </w:t>
      </w:r>
      <w:r>
        <w:rPr>
          <w:rFonts w:ascii="PT Astra Serif" w:hAnsi="PT Astra Serif" w:eastAsia="PT Astra Serif" w:cs="PT Astra Serif"/>
          <w:b/>
          <w:bCs/>
          <w:color w:val="000000" w:themeColor="text1"/>
          <w:sz w:val="27"/>
          <w:highlight w:val="white"/>
        </w:rPr>
        <w:t xml:space="preserve">на НСУ</w:t>
      </w:r>
      <w:r>
        <w:rPr>
          <w:rFonts w:ascii="PT Astra Serif" w:hAnsi="PT Astra Serif" w:eastAsia="PT Astra Serif" w:cs="PT Astra Serif"/>
          <w:b/>
          <w:bCs/>
          <w:color w:val="000000" w:themeColor="text1"/>
          <w:sz w:val="27"/>
          <w:highlight w:val="white"/>
        </w:rPr>
        <w:t xml:space="preserve"> </w:t>
      </w:r>
      <w:r>
        <w:rPr>
          <w:rFonts w:ascii="PT Astra Serif" w:hAnsi="PT Astra Serif" w:eastAsia="PT Astra Serif" w:cs="PT Astra Serif"/>
          <w:b/>
          <w:bCs/>
          <w:color w:val="000000" w:themeColor="text1"/>
          <w:sz w:val="27"/>
          <w:highlight w:val="white"/>
        </w:rPr>
        <w:t xml:space="preserve">на портале Госуслуг (</w:t>
      </w:r>
      <w:hyperlink r:id="rId8" w:tooltip="http://www.gosuslugi.ru/" w:history="1">
        <w:r>
          <w:rPr>
            <w:rStyle w:val="814"/>
            <w:rFonts w:ascii="PT Astra Serif" w:hAnsi="PT Astra Serif" w:eastAsia="PT Astra Serif" w:cs="PT Astra Serif"/>
            <w:b/>
            <w:bCs/>
            <w:color w:val="000000" w:themeColor="text1"/>
            <w:sz w:val="27"/>
            <w:highlight w:val="white"/>
            <w:u w:val="single"/>
          </w:rPr>
          <w:t xml:space="preserve">www.gosuslugi.ru</w:t>
        </w:r>
      </w:hyperlink>
      <w:r>
        <w:rPr>
          <w:rFonts w:ascii="PT Astra Serif" w:hAnsi="PT Astra Serif" w:eastAsia="PT Astra Serif" w:cs="PT Astra Serif"/>
          <w:b/>
          <w:bCs/>
          <w:color w:val="000000" w:themeColor="text1"/>
          <w:sz w:val="27"/>
          <w:highlight w:val="white"/>
        </w:rPr>
        <w:t xml:space="preserve">) или по месту жительства через клиентские службы </w:t>
      </w:r>
      <w:r>
        <w:rPr>
          <w:rFonts w:ascii="PT Astra Serif" w:hAnsi="PT Astra Serif" w:eastAsia="PT Astra Serif" w:cs="PT Astra Serif"/>
          <w:b/>
          <w:bCs/>
          <w:color w:val="000000" w:themeColor="text1"/>
          <w:sz w:val="27"/>
          <w:szCs w:val="27"/>
        </w:rPr>
        <w:t xml:space="preserve">Фонда пенсионного и социального страхования Российской Федерации, а так же</w:t>
      </w:r>
      <w:r>
        <w:rPr>
          <w:rFonts w:ascii="PT Astra Serif" w:hAnsi="PT Astra Serif" w:eastAsia="PT Astra Serif" w:cs="PT Astra Serif"/>
          <w:b/>
          <w:bCs/>
          <w:color w:val="000000" w:themeColor="text1"/>
          <w:sz w:val="27"/>
          <w:highlight w:val="white"/>
        </w:rPr>
        <w:t xml:space="preserve"> МФЦ</w:t>
      </w:r>
      <w:r>
        <w:rPr>
          <w:rFonts w:ascii="PT Astra Serif" w:hAnsi="PT Astra Serif" w:eastAsia="PT Astra Serif" w:cs="PT Astra Serif"/>
          <w:b/>
          <w:bCs/>
          <w:color w:val="000000" w:themeColor="text1"/>
          <w:sz w:val="27"/>
          <w:szCs w:val="27"/>
          <w:shd w:val="clear" w:color="auto" w:fill="ffffff"/>
        </w:rPr>
        <w:t xml:space="preserve"> и с 1 января 2027</w:t>
      </w:r>
      <w:r>
        <w:rPr>
          <w:rFonts w:ascii="PT Astra Serif" w:hAnsi="PT Astra Serif" w:eastAsia="PT Astra Serif" w:cs="PT Astra Serif"/>
          <w:b/>
          <w:bCs/>
          <w:color w:val="000000" w:themeColor="text1"/>
          <w:sz w:val="27"/>
          <w:szCs w:val="27"/>
          <w:shd w:val="clear" w:color="auto" w:fill="ffffff"/>
        </w:rPr>
        <w:t xml:space="preserve"> года получать лекарственные препараты по рецептам бесплатно.</w:t>
      </w:r>
      <w:r>
        <w:rPr>
          <w:rFonts w:ascii="PT Astra Serif" w:hAnsi="PT Astra Serif" w:cs="PT Astra Serif"/>
          <w:color w:val="1d2129"/>
          <w:sz w:val="27"/>
          <w:szCs w:val="27"/>
          <w:shd w:val="clear" w:color="auto" w:fill="ffffff"/>
        </w:rPr>
      </w:r>
      <w:r>
        <w:rPr>
          <w:rFonts w:ascii="PT Astra Serif" w:hAnsi="PT Astra Serif" w:cs="PT Astra Serif"/>
          <w:color w:val="1d2129"/>
          <w:sz w:val="27"/>
          <w:szCs w:val="27"/>
          <w:shd w:val="clear" w:color="auto" w:fill="ffffff"/>
        </w:rPr>
      </w:r>
    </w:p>
    <w:p>
      <w:pPr>
        <w:widowControl w:val="off"/>
        <w:ind w:firstLine="709"/>
        <w:jc w:val="both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 w:eastAsia="PT Astra Serif" w:cs="PT Astra Serif"/>
          <w:b/>
          <w:i/>
          <w:color w:val="1d2129"/>
          <w:sz w:val="27"/>
          <w:szCs w:val="27"/>
          <w:shd w:val="clear" w:color="auto" w:fill="ffffff"/>
        </w:rPr>
        <w:t xml:space="preserve">Как можно получить бесплатные лекарства из </w:t>
      </w:r>
      <w:r>
        <w:rPr>
          <w:rFonts w:ascii="PT Astra Serif" w:hAnsi="PT Astra Serif" w:eastAsia="PT Astra Serif" w:cs="PT Astra Serif"/>
          <w:b/>
          <w:i/>
          <w:color w:val="1d2129"/>
          <w:sz w:val="27"/>
          <w:szCs w:val="27"/>
          <w:shd w:val="clear" w:color="auto" w:fill="ffffff"/>
        </w:rPr>
        <w:t xml:space="preserve">соцпакета</w:t>
      </w:r>
      <w:r>
        <w:rPr>
          <w:rFonts w:ascii="PT Astra Serif" w:hAnsi="PT Astra Serif" w:eastAsia="PT Astra Serif" w:cs="PT Astra Serif"/>
          <w:b/>
          <w:i/>
          <w:color w:val="1d2129"/>
          <w:sz w:val="27"/>
          <w:szCs w:val="27"/>
          <w:shd w:val="clear" w:color="auto" w:fill="ffffff"/>
        </w:rPr>
        <w:t xml:space="preserve">? </w:t>
      </w:r>
      <w:r>
        <w:rPr>
          <w:rFonts w:ascii="PT Astra Serif" w:hAnsi="PT Astra Serif" w:eastAsia="PT Astra Serif" w:cs="PT Astra Serif"/>
          <w:color w:val="1d2129"/>
          <w:sz w:val="27"/>
          <w:szCs w:val="27"/>
          <w:shd w:val="clear" w:color="auto" w:fill="ffffff"/>
        </w:rPr>
        <w:t xml:space="preserve">Рецепты на льготные лекарст</w:t>
      </w:r>
      <w:r>
        <w:rPr>
          <w:rFonts w:ascii="PT Astra Serif" w:hAnsi="PT Astra Serif" w:eastAsia="PT Astra Serif" w:cs="PT Astra Serif"/>
          <w:color w:val="1d2129"/>
          <w:sz w:val="27"/>
          <w:szCs w:val="27"/>
          <w:shd w:val="clear" w:color="auto" w:fill="ffffff"/>
        </w:rPr>
        <w:t xml:space="preserve">венные препараты выписываются лечащим врачом. Для этого требуются регулярное посещение и осмотр пациента, которые позволяю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т своевременно проходить дополнительные обследования и выявлять опасные заболевания, далее лечащий врач на приеме выписывает рецепт.  </w:t>
      </w:r>
      <w:r>
        <w:rPr>
          <w:rFonts w:ascii="PT Astra Serif" w:hAnsi="PT Astra Serif"/>
          <w:sz w:val="27"/>
          <w:szCs w:val="27"/>
        </w:rPr>
      </w:r>
      <w:r>
        <w:rPr>
          <w:rFonts w:ascii="PT Astra Serif" w:hAnsi="PT Astra Serif"/>
          <w:sz w:val="27"/>
          <w:szCs w:val="27"/>
        </w:rPr>
      </w:r>
    </w:p>
    <w:p>
      <w:pPr>
        <w:widowControl w:val="off"/>
        <w:ind w:firstLine="709"/>
        <w:jc w:val="both"/>
        <w:rPr>
          <w:rFonts w:ascii="PT Astra Serif" w:hAnsi="PT Astra Serif"/>
          <w:color w:val="1d2129"/>
          <w:sz w:val="27"/>
          <w:szCs w:val="27"/>
          <w:highlight w:val="white"/>
          <w:shd w:val="clear" w:color="auto" w:fill="ffffff"/>
        </w:rPr>
      </w:pP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Государственная информационная система льготного лекарственного обеспечения р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абот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ает в режиме онлайн. Если в аптеке на данный момент отсутствует нужное лека</w:t>
      </w:r>
      <w:r>
        <w:rPr>
          <w:rFonts w:ascii="PT Astra Serif" w:hAnsi="PT Astra Serif"/>
          <w:color w:val="1d2129"/>
          <w:sz w:val="27"/>
          <w:szCs w:val="27"/>
          <w:highlight w:val="white"/>
          <w:shd w:val="clear" w:color="auto" w:fill="ffffff"/>
        </w:rPr>
        <w:t xml:space="preserve">рство, то существует возможность постановки рецепта на отсроченное обслуживание, то есть аптека закажет, а уполномоченная фармацевтическая организация оперативно доставит лекарство.</w:t>
      </w:r>
      <w:r>
        <w:rPr>
          <w:rFonts w:ascii="PT Astra Serif" w:hAnsi="PT Astra Serif"/>
          <w:color w:val="1d2129"/>
          <w:sz w:val="27"/>
          <w:szCs w:val="27"/>
          <w:highlight w:val="white"/>
          <w:shd w:val="clear" w:color="auto" w:fill="ffffff"/>
        </w:rPr>
      </w:r>
      <w:r>
        <w:rPr>
          <w:rFonts w:ascii="PT Astra Serif" w:hAnsi="PT Astra Serif"/>
          <w:color w:val="1d2129"/>
          <w:sz w:val="27"/>
          <w:szCs w:val="27"/>
          <w:highlight w:val="white"/>
          <w:shd w:val="clear" w:color="auto" w:fill="ffffff"/>
        </w:rPr>
      </w:r>
    </w:p>
    <w:p>
      <w:pPr>
        <w:widowControl w:val="off"/>
        <w:ind w:firstLine="709"/>
        <w:jc w:val="both"/>
        <w:rPr>
          <w:rFonts w:ascii="PT Astra Serif" w:hAnsi="PT Astra Serif"/>
          <w:color w:val="1d2129"/>
          <w:sz w:val="27"/>
          <w:szCs w:val="27"/>
          <w:shd w:val="clear" w:color="auto" w:fill="ffffff"/>
        </w:rPr>
      </w:pPr>
      <w:r>
        <w:rPr>
          <w:rFonts w:ascii="PT Astra Serif" w:hAnsi="PT Astra Serif"/>
          <w:color w:val="1d2129"/>
          <w:sz w:val="27"/>
          <w:szCs w:val="27"/>
          <w:highlight w:val="white"/>
          <w:shd w:val="clear" w:color="auto" w:fill="ffffff"/>
        </w:rPr>
        <w:t xml:space="preserve">В </w:t>
      </w:r>
      <w:r>
        <w:rPr>
          <w:rFonts w:ascii="PT Astra Serif" w:hAnsi="PT Astra Serif"/>
          <w:color w:val="1d2129"/>
          <w:sz w:val="27"/>
          <w:szCs w:val="27"/>
          <w:highlight w:val="white"/>
          <w:shd w:val="clear" w:color="auto" w:fill="ffffff"/>
        </w:rPr>
        <w:t xml:space="preserve">2025</w:t>
      </w:r>
      <w:r>
        <w:rPr>
          <w:rFonts w:ascii="PT Astra Serif" w:hAnsi="PT Astra Serif"/>
          <w:color w:val="1d2129"/>
          <w:sz w:val="27"/>
          <w:szCs w:val="27"/>
          <w:highlight w:val="white"/>
          <w:shd w:val="clear" w:color="auto" w:fill="ffffff"/>
        </w:rPr>
        <w:t xml:space="preserve"> году </w:t>
      </w:r>
      <w:r>
        <w:rPr>
          <w:rFonts w:ascii="PT Astra Serif" w:hAnsi="PT Astra Serif"/>
          <w:color w:val="1d2129"/>
          <w:sz w:val="27"/>
          <w:szCs w:val="27"/>
          <w:highlight w:val="white"/>
          <w:shd w:val="clear" w:color="auto" w:fill="ffffff"/>
        </w:rPr>
        <w:t xml:space="preserve">98,83 </w:t>
      </w:r>
      <w:r>
        <w:rPr>
          <w:rFonts w:ascii="PT Astra Serif" w:hAnsi="PT Astra Serif"/>
          <w:color w:val="1d2129"/>
          <w:sz w:val="27"/>
          <w:szCs w:val="27"/>
          <w:highlight w:val="white"/>
          <w:shd w:val="clear" w:color="auto" w:fill="ffffff"/>
        </w:rPr>
        <w:t xml:space="preserve">% всех выписанных</w:t>
      </w:r>
      <w:r>
        <w:rPr>
          <w:rFonts w:ascii="PT Astra Serif" w:hAnsi="PT Astra Serif"/>
          <w:color w:val="1d2129"/>
          <w:sz w:val="27"/>
          <w:szCs w:val="27"/>
          <w:highlight w:val="white"/>
          <w:shd w:val="clear" w:color="auto" w:fill="ffffff"/>
        </w:rPr>
        <w:t xml:space="preserve"> рецептов оформлены в виде электронного документа, при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этом лечащий врач в рецепте может прописать количество лекарственного препарата базовой терапии на срок до 180 дней по медицинским показаниям.</w:t>
      </w:r>
      <w:r>
        <w:rPr>
          <w:rFonts w:ascii="PT Astra Serif" w:hAnsi="PT Astra Serif"/>
          <w:sz w:val="27"/>
          <w:szCs w:val="27"/>
        </w:rPr>
        <w:t xml:space="preserve">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Получить актуальную информацию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о ближайших поставках препаратов по рецептам, находящимся на отсроченном обслуживании, можно по телефону краевой горячей линии «122» или уполномоченной фармацевтической организации: 8 (3852) 383-448, а также в чат-боте «Аптеки Алтая» (ссылка в «Телеграм»: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t.me/Apal22_bot).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</w:p>
    <w:p>
      <w:pPr>
        <w:widowControl w:val="off"/>
        <w:ind w:firstLine="709"/>
        <w:jc w:val="both"/>
        <w:rPr>
          <w:rFonts w:ascii="PT Astra Serif" w:hAnsi="PT Astra Serif"/>
          <w:color w:val="1d2129"/>
          <w:sz w:val="27"/>
          <w:szCs w:val="27"/>
          <w:shd w:val="clear" w:color="auto" w:fill="ffffff"/>
        </w:rPr>
      </w:pPr>
      <w:r>
        <w:rPr>
          <w:rFonts w:ascii="PT Astra Serif" w:hAnsi="PT Astra Serif"/>
          <w:b/>
          <w:i/>
          <w:color w:val="1d2129"/>
          <w:sz w:val="27"/>
          <w:szCs w:val="27"/>
          <w:shd w:val="clear" w:color="auto" w:fill="ffffff"/>
        </w:rPr>
        <w:t xml:space="preserve">Внимание! Важно!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Если федеральные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льготополучатели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, страдающие тяжелыми и хроническими заболеваниями, отказываются от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соцпакета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, они лишаются возможности пользоваться бесплатными лекарственными препаратами, необходимыми для лечения по медицинским показаниям.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</w:p>
    <w:p>
      <w:pPr>
        <w:widowControl w:val="off"/>
        <w:ind w:firstLine="709"/>
        <w:jc w:val="both"/>
        <w:rPr>
          <w:rFonts w:ascii="PT Astra Serif" w:hAnsi="PT Astra Serif"/>
          <w:color w:val="1d2129"/>
          <w:sz w:val="27"/>
          <w:szCs w:val="27"/>
          <w:shd w:val="clear" w:color="auto" w:fill="ffffff"/>
        </w:rPr>
      </w:pP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В рамках территориальной программы государственных гарантий бесплатного оказания гражданам медицинской помощи на 2026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год ДОПОЛНИТЕЛЬНО осуществляется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лекарственное обеспечение пациентов, перенесших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острое нарушение мозгового кровообращения, инфаркт миокарда и другие острые сердечно-сосудистые заболевания, в амбулаторных условиях в течение двух календарных лет по рецептам врачей. В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перечень лекарственных препаратов входит 31 международное непатенто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ванное наименование.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Так называемый «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кардиопакет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» предоставляется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по медицинским показаниям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всем, за исключением лиц, отказавшихся от набора социальных услуг в части лекарственного обеспечения.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По аналогичному принципу обеспечиваются энтеральным питанием паллиативные пациенты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.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</w:p>
    <w:p>
      <w:pPr>
        <w:widowControl w:val="off"/>
        <w:ind w:firstLine="709"/>
        <w:jc w:val="both"/>
        <w:rPr>
          <w:rFonts w:ascii="PT Astra Serif" w:hAnsi="PT Astra Serif"/>
          <w:b/>
          <w:i/>
          <w:color w:val="1d2129"/>
          <w:sz w:val="27"/>
          <w:szCs w:val="27"/>
          <w:shd w:val="clear" w:color="auto" w:fill="ffffff"/>
        </w:rPr>
      </w:pPr>
      <w:r>
        <w:rPr>
          <w:rFonts w:ascii="PT Astra Serif" w:hAnsi="PT Astra Serif"/>
          <w:b/>
          <w:i/>
          <w:color w:val="1d2129"/>
          <w:sz w:val="27"/>
          <w:szCs w:val="27"/>
          <w:shd w:val="clear" w:color="auto" w:fill="ffffff"/>
        </w:rPr>
        <w:t xml:space="preserve">Справка «</w:t>
      </w:r>
      <w:r>
        <w:rPr>
          <w:rFonts w:ascii="PT Astra Serif" w:hAnsi="PT Astra Serif"/>
          <w:b/>
          <w:i/>
          <w:color w:val="1d2129"/>
          <w:sz w:val="27"/>
          <w:szCs w:val="27"/>
          <w:shd w:val="clear" w:color="auto" w:fill="ffffff"/>
        </w:rPr>
        <w:t xml:space="preserve">Лекобеспечение</w:t>
      </w:r>
      <w:r>
        <w:rPr>
          <w:rFonts w:ascii="PT Astra Serif" w:hAnsi="PT Astra Serif"/>
          <w:b/>
          <w:i/>
          <w:color w:val="1d2129"/>
          <w:sz w:val="27"/>
          <w:szCs w:val="27"/>
          <w:shd w:val="clear" w:color="auto" w:fill="ffffff"/>
        </w:rPr>
        <w:t xml:space="preserve"> федеральных льготников. 2025</w:t>
      </w:r>
      <w:r>
        <w:rPr>
          <w:rFonts w:ascii="PT Astra Serif" w:hAnsi="PT Astra Serif"/>
          <w:b/>
          <w:i/>
          <w:color w:val="1d2129"/>
          <w:sz w:val="27"/>
          <w:szCs w:val="27"/>
          <w:shd w:val="clear" w:color="auto" w:fill="ffffff"/>
        </w:rPr>
        <w:t xml:space="preserve"> год»:</w:t>
      </w:r>
      <w:r>
        <w:rPr>
          <w:rFonts w:ascii="PT Astra Serif" w:hAnsi="PT Astra Serif"/>
          <w:b/>
          <w:i/>
          <w:color w:val="1d2129"/>
          <w:sz w:val="27"/>
          <w:szCs w:val="27"/>
          <w:shd w:val="clear" w:color="auto" w:fill="ffffff"/>
        </w:rPr>
      </w:r>
      <w:r>
        <w:rPr>
          <w:rFonts w:ascii="PT Astra Serif" w:hAnsi="PT Astra Serif"/>
          <w:b/>
          <w:i/>
          <w:color w:val="1d2129"/>
          <w:sz w:val="27"/>
          <w:szCs w:val="27"/>
          <w:shd w:val="clear" w:color="auto" w:fill="ffffff"/>
        </w:rPr>
      </w:r>
    </w:p>
    <w:p>
      <w:pPr>
        <w:widowControl w:val="off"/>
        <w:ind w:firstLine="709"/>
        <w:jc w:val="both"/>
        <w:rPr>
          <w:rFonts w:ascii="PT Astra Serif" w:hAnsi="PT Astra Serif"/>
          <w:color w:val="1d2129"/>
          <w:sz w:val="27"/>
          <w:szCs w:val="27"/>
          <w:shd w:val="clear" w:color="auto" w:fill="ffffff"/>
        </w:rPr>
      </w:pP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о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беспечены 52758 пациентов (в 2024 году -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49970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пациентов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)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;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</w:p>
    <w:p>
      <w:pPr>
        <w:widowControl w:val="off"/>
        <w:ind w:firstLine="709"/>
        <w:jc w:val="both"/>
        <w:rPr>
          <w:rFonts w:ascii="PT Astra Serif" w:hAnsi="PT Astra Serif"/>
          <w:color w:val="1d2129"/>
          <w:sz w:val="27"/>
          <w:szCs w:val="27"/>
          <w:shd w:val="clear" w:color="auto" w:fill="ffffff"/>
        </w:rPr>
      </w:pP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обслужено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1001787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рецептов (в 2024 году -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912365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рецептов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)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;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</w:p>
    <w:p>
      <w:pPr>
        <w:widowControl w:val="off"/>
        <w:ind w:firstLine="709"/>
        <w:jc w:val="both"/>
        <w:rPr>
          <w:rFonts w:ascii="PT Astra Serif" w:hAnsi="PT Astra Serif"/>
          <w:color w:val="1d2129"/>
          <w:sz w:val="27"/>
          <w:szCs w:val="27"/>
          <w:shd w:val="clear" w:color="auto" w:fill="ffffff"/>
        </w:rPr>
      </w:pP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стоимость отпущенных лекарств на одного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льготополучателя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в среднем составила 52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 708,75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рублей (в 2024 году -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42012,37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рублей)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;</w:t>
      </w:r>
      <w:r>
        <w:rPr>
          <w:sz w:val="27"/>
          <w:szCs w:val="27"/>
        </w:rPr>
        <w:t xml:space="preserve">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</w:r>
    </w:p>
    <w:p>
      <w:pPr>
        <w:widowControl w:val="off"/>
        <w:ind w:firstLine="709"/>
        <w:jc w:val="both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объем финансовых средств, израсходованных на лекарственное обеспечение, –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2,8 млрд. рублей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(в 2024 году -  2,1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 мл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рд. рублей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)</w:t>
      </w:r>
      <w:r>
        <w:rPr>
          <w:rFonts w:ascii="PT Astra Serif" w:hAnsi="PT Astra Serif"/>
          <w:color w:val="1d2129"/>
          <w:sz w:val="27"/>
          <w:szCs w:val="27"/>
          <w:shd w:val="clear" w:color="auto" w:fill="ffffff"/>
        </w:rPr>
        <w:t xml:space="preserve">.</w:t>
      </w:r>
      <w:r>
        <w:rPr>
          <w:sz w:val="27"/>
          <w:szCs w:val="27"/>
        </w:rPr>
        <w:t xml:space="preserve"> </w:t>
      </w:r>
      <w:r>
        <w:rPr>
          <w:rFonts w:ascii="PT Astra Serif" w:hAnsi="PT Astra Serif"/>
          <w:sz w:val="27"/>
          <w:szCs w:val="27"/>
        </w:rPr>
      </w:r>
      <w:r>
        <w:rPr>
          <w:rFonts w:ascii="PT Astra Serif" w:hAnsi="PT Astra Serif"/>
          <w:sz w:val="27"/>
          <w:szCs w:val="27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ind w:left="720"/>
      <w:contextualSpacing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833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spacing w:after="57"/>
      <w:ind w:left="0" w:right="0" w:firstLine="0"/>
    </w:pPr>
  </w:style>
  <w:style w:type="paragraph" w:styleId="822">
    <w:name w:val="toc 2"/>
    <w:basedOn w:val="832"/>
    <w:next w:val="832"/>
    <w:uiPriority w:val="39"/>
    <w:unhideWhenUsed/>
    <w:pPr>
      <w:spacing w:after="57"/>
      <w:ind w:left="283" w:right="0" w:firstLine="0"/>
    </w:pPr>
  </w:style>
  <w:style w:type="paragraph" w:styleId="823">
    <w:name w:val="toc 3"/>
    <w:basedOn w:val="832"/>
    <w:next w:val="832"/>
    <w:uiPriority w:val="39"/>
    <w:unhideWhenUsed/>
    <w:pPr>
      <w:spacing w:after="57"/>
      <w:ind w:left="567" w:right="0" w:firstLine="0"/>
    </w:pPr>
  </w:style>
  <w:style w:type="paragraph" w:styleId="824">
    <w:name w:val="toc 4"/>
    <w:basedOn w:val="832"/>
    <w:next w:val="832"/>
    <w:uiPriority w:val="39"/>
    <w:unhideWhenUsed/>
    <w:pPr>
      <w:spacing w:after="57"/>
      <w:ind w:left="850" w:right="0" w:firstLine="0"/>
    </w:pPr>
  </w:style>
  <w:style w:type="paragraph" w:styleId="825">
    <w:name w:val="toc 5"/>
    <w:basedOn w:val="832"/>
    <w:next w:val="832"/>
    <w:uiPriority w:val="39"/>
    <w:unhideWhenUsed/>
    <w:pPr>
      <w:spacing w:after="57"/>
      <w:ind w:left="1134" w:right="0" w:firstLine="0"/>
    </w:pPr>
  </w:style>
  <w:style w:type="paragraph" w:styleId="826">
    <w:name w:val="toc 6"/>
    <w:basedOn w:val="832"/>
    <w:next w:val="832"/>
    <w:uiPriority w:val="39"/>
    <w:unhideWhenUsed/>
    <w:pPr>
      <w:spacing w:after="57"/>
      <w:ind w:left="1417" w:right="0" w:firstLine="0"/>
    </w:pPr>
  </w:style>
  <w:style w:type="paragraph" w:styleId="827">
    <w:name w:val="toc 7"/>
    <w:basedOn w:val="832"/>
    <w:next w:val="832"/>
    <w:uiPriority w:val="39"/>
    <w:unhideWhenUsed/>
    <w:pPr>
      <w:spacing w:after="57"/>
      <w:ind w:left="1701" w:right="0" w:firstLine="0"/>
    </w:pPr>
  </w:style>
  <w:style w:type="paragraph" w:styleId="828">
    <w:name w:val="toc 8"/>
    <w:basedOn w:val="832"/>
    <w:next w:val="832"/>
    <w:uiPriority w:val="39"/>
    <w:unhideWhenUsed/>
    <w:pPr>
      <w:spacing w:after="57"/>
      <w:ind w:left="1984" w:right="0" w:firstLine="0"/>
    </w:pPr>
  </w:style>
  <w:style w:type="paragraph" w:styleId="829">
    <w:name w:val="toc 9"/>
    <w:basedOn w:val="832"/>
    <w:next w:val="832"/>
    <w:uiPriority w:val="39"/>
    <w:unhideWhenUsed/>
    <w:pPr>
      <w:spacing w:after="57"/>
      <w:ind w:left="2268" w:right="0" w:firstLine="0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838" w:customStyle="1">
    <w:name w:val="Body Text"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0" w:beforeAutospacing="0" w:after="0" w:afterAutospacing="0" w:line="240" w:lineRule="auto"/>
      <w:ind w:left="0" w:right="0" w:firstLine="0"/>
      <w:contextualSpacing w:val="0"/>
      <w:jc w:val="both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://www.gosuslugi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Юрьевна Попова</dc:creator>
  <cp:keywords/>
  <dc:description/>
  <cp:lastModifiedBy>popovas@KRAYZDRAV</cp:lastModifiedBy>
  <cp:revision>9</cp:revision>
  <dcterms:created xsi:type="dcterms:W3CDTF">2025-01-31T05:31:00Z</dcterms:created>
  <dcterms:modified xsi:type="dcterms:W3CDTF">2026-03-04T07:42:02Z</dcterms:modified>
</cp:coreProperties>
</file>